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E541"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1584742F"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1DE241D5"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645D1F27" w14:textId="77777777" w:rsidR="001079FA" w:rsidRDefault="00C92A21" w:rsidP="00C92A21">
      <w:pPr>
        <w:spacing w:before="240" w:after="240" w:line="480" w:lineRule="auto"/>
        <w:jc w:val="center"/>
        <w:rPr>
          <w:rFonts w:ascii="Times New Roman" w:eastAsia="Times New Roman" w:hAnsi="Times New Roman" w:cs="Times New Roman"/>
          <w:b/>
          <w:bCs/>
          <w:color w:val="000000"/>
          <w:kern w:val="0"/>
          <w:sz w:val="30"/>
          <w:szCs w:val="30"/>
          <w14:ligatures w14:val="none"/>
        </w:rPr>
      </w:pPr>
      <w:r w:rsidRPr="00C92A21">
        <w:rPr>
          <w:rFonts w:ascii="Times New Roman" w:eastAsia="Times New Roman" w:hAnsi="Times New Roman" w:cs="Times New Roman"/>
          <w:b/>
          <w:bCs/>
          <w:color w:val="000000"/>
          <w:kern w:val="0"/>
          <w:sz w:val="30"/>
          <w:szCs w:val="30"/>
          <w14:ligatures w14:val="none"/>
        </w:rPr>
        <w:t>The Paradox of Innovation: Political Influence</w:t>
      </w:r>
      <w:r>
        <w:rPr>
          <w:rFonts w:ascii="Times New Roman" w:eastAsia="Times New Roman" w:hAnsi="Times New Roman" w:cs="Times New Roman"/>
          <w:b/>
          <w:bCs/>
          <w:color w:val="000000"/>
          <w:kern w:val="0"/>
          <w:sz w:val="30"/>
          <w:szCs w:val="30"/>
          <w14:ligatures w14:val="none"/>
        </w:rPr>
        <w:t>, Government Subsidies,</w:t>
      </w:r>
      <w:r w:rsidRPr="00C92A21">
        <w:rPr>
          <w:rFonts w:ascii="Times New Roman" w:eastAsia="Times New Roman" w:hAnsi="Times New Roman" w:cs="Times New Roman"/>
          <w:b/>
          <w:bCs/>
          <w:color w:val="000000"/>
          <w:kern w:val="0"/>
          <w:sz w:val="30"/>
          <w:szCs w:val="30"/>
          <w14:ligatures w14:val="none"/>
        </w:rPr>
        <w:t xml:space="preserve"> and </w:t>
      </w:r>
      <w:r w:rsidR="001079FA">
        <w:rPr>
          <w:rFonts w:ascii="Times New Roman" w:eastAsia="Times New Roman" w:hAnsi="Times New Roman" w:cs="Times New Roman"/>
          <w:b/>
          <w:bCs/>
          <w:color w:val="000000"/>
          <w:kern w:val="0"/>
          <w:sz w:val="30"/>
          <w:szCs w:val="30"/>
          <w14:ligatures w14:val="none"/>
        </w:rPr>
        <w:t>Unequal Spillovers</w:t>
      </w:r>
    </w:p>
    <w:p w14:paraId="311085B5" w14:textId="62F4CCAE" w:rsidR="00C92A21" w:rsidRPr="00C92A21" w:rsidRDefault="00C92A21" w:rsidP="00C92A21">
      <w:pPr>
        <w:spacing w:before="240" w:after="240" w:line="480" w:lineRule="auto"/>
        <w:jc w:val="center"/>
        <w:rPr>
          <w:rFonts w:ascii="Times New Roman" w:eastAsia="Times New Roman" w:hAnsi="Times New Roman" w:cs="Times New Roman"/>
          <w:b/>
          <w:bCs/>
          <w:color w:val="000000"/>
          <w:kern w:val="0"/>
          <w:sz w:val="30"/>
          <w:szCs w:val="30"/>
          <w14:ligatures w14:val="none"/>
        </w:rPr>
      </w:pPr>
      <w:r>
        <w:rPr>
          <w:rFonts w:ascii="Times New Roman" w:eastAsia="Times New Roman" w:hAnsi="Times New Roman" w:cs="Times New Roman"/>
          <w:b/>
          <w:bCs/>
          <w:color w:val="000000"/>
          <w:kern w:val="0"/>
          <w:sz w:val="30"/>
          <w:szCs w:val="30"/>
          <w14:ligatures w14:val="none"/>
        </w:rPr>
        <w:t xml:space="preserve"> </w:t>
      </w:r>
      <w:r w:rsidRPr="00C92A21">
        <w:rPr>
          <w:rFonts w:ascii="Times New Roman" w:eastAsia="Times New Roman" w:hAnsi="Times New Roman" w:cs="Times New Roman"/>
          <w:color w:val="000000"/>
          <w:kern w:val="0"/>
          <w:sz w:val="30"/>
          <w:szCs w:val="30"/>
          <w14:ligatures w14:val="none"/>
        </w:rPr>
        <w:t xml:space="preserve">Yieum (Amy) Park, </w:t>
      </w:r>
      <w:proofErr w:type="spellStart"/>
      <w:r w:rsidRPr="00C92A21">
        <w:rPr>
          <w:rFonts w:ascii="Times New Roman" w:eastAsia="Times New Roman" w:hAnsi="Times New Roman" w:cs="Times New Roman"/>
          <w:color w:val="000000"/>
          <w:kern w:val="0"/>
          <w:sz w:val="30"/>
          <w:szCs w:val="30"/>
          <w14:ligatures w14:val="none"/>
        </w:rPr>
        <w:t>Handong</w:t>
      </w:r>
      <w:proofErr w:type="spellEnd"/>
      <w:r w:rsidRPr="00C92A21">
        <w:rPr>
          <w:rFonts w:ascii="Times New Roman" w:eastAsia="Times New Roman" w:hAnsi="Times New Roman" w:cs="Times New Roman"/>
          <w:color w:val="000000"/>
          <w:kern w:val="0"/>
          <w:sz w:val="30"/>
          <w:szCs w:val="30"/>
          <w14:ligatures w14:val="none"/>
        </w:rPr>
        <w:t xml:space="preserve"> International School</w:t>
      </w:r>
    </w:p>
    <w:p w14:paraId="58FC8F95"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35895021"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29BCD2B2"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2D0D202E"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4D0334D4"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3BD8908F"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596895BF"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38E38A95"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2F9175FB"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00D3D92B" w14:textId="77777777" w:rsidR="00C92A21" w:rsidRDefault="00C92A21" w:rsidP="000111D5">
      <w:pPr>
        <w:spacing w:before="240" w:after="240" w:line="480" w:lineRule="auto"/>
        <w:rPr>
          <w:rFonts w:ascii="Times New Roman" w:eastAsia="Times New Roman" w:hAnsi="Times New Roman" w:cs="Times New Roman"/>
          <w:b/>
          <w:bCs/>
          <w:color w:val="000000"/>
          <w:kern w:val="0"/>
          <w14:ligatures w14:val="none"/>
        </w:rPr>
      </w:pPr>
    </w:p>
    <w:p w14:paraId="1BC7AF75" w14:textId="088DF39F"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b/>
          <w:bCs/>
          <w:color w:val="000000"/>
          <w:kern w:val="0"/>
          <w14:ligatures w14:val="none"/>
        </w:rPr>
        <w:lastRenderedPageBreak/>
        <w:t>Abstract</w:t>
      </w:r>
    </w:p>
    <w:p w14:paraId="56A2E6F5" w14:textId="4FC96509"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This paper examines the paradoxical role of political measurements in accelerating or impeding indigenous technological innovation. State-led support can accelerate development under certain circumstances, but it often leads to market failures through the misallocation of resources. Additionally, even though some indigenous technological inventions generate long-term spillovers, they are often the least profitable to firms and therefore end up hindering technological growth through underinvestment and lack of support. To solve this problem, governments should target subsidies to spillover-rich industries instead of concentrating investment on politically linked firms. </w:t>
      </w:r>
      <w:r w:rsidR="001079FA">
        <w:rPr>
          <w:rFonts w:ascii="Times New Roman" w:eastAsia="Times New Roman" w:hAnsi="Times New Roman" w:cs="Times New Roman"/>
          <w:color w:val="000000"/>
          <w:kern w:val="0"/>
          <w14:ligatures w14:val="none"/>
        </w:rPr>
        <w:t>An analysis of</w:t>
      </w:r>
      <w:r w:rsidRPr="000111D5">
        <w:rPr>
          <w:rFonts w:ascii="Times New Roman" w:eastAsia="Times New Roman" w:hAnsi="Times New Roman" w:cs="Times New Roman"/>
          <w:color w:val="000000"/>
          <w:kern w:val="0"/>
          <w14:ligatures w14:val="none"/>
        </w:rPr>
        <w:t xml:space="preserve"> China’s tendency to subsidize more firms connected to the party-state </w:t>
      </w:r>
      <w:r w:rsidR="001079FA">
        <w:rPr>
          <w:rFonts w:ascii="Times New Roman" w:eastAsia="Times New Roman" w:hAnsi="Times New Roman" w:cs="Times New Roman"/>
          <w:color w:val="000000"/>
          <w:kern w:val="0"/>
          <w14:ligatures w14:val="none"/>
        </w:rPr>
        <w:t>reveals how such policies can</w:t>
      </w:r>
      <w:r w:rsidRPr="000111D5">
        <w:rPr>
          <w:rFonts w:ascii="Times New Roman" w:eastAsia="Times New Roman" w:hAnsi="Times New Roman" w:cs="Times New Roman"/>
          <w:color w:val="000000"/>
          <w:kern w:val="0"/>
          <w14:ligatures w14:val="none"/>
        </w:rPr>
        <w:t xml:space="preserve"> involuntarily limit long-term growth</w:t>
      </w:r>
      <w:r w:rsidR="001079FA">
        <w:rPr>
          <w:rFonts w:ascii="Times New Roman" w:eastAsia="Times New Roman" w:hAnsi="Times New Roman" w:cs="Times New Roman"/>
          <w:color w:val="000000"/>
          <w:kern w:val="0"/>
          <w14:ligatures w14:val="none"/>
        </w:rPr>
        <w:t>. This</w:t>
      </w:r>
      <w:r w:rsidRPr="000111D5">
        <w:rPr>
          <w:rFonts w:ascii="Times New Roman" w:eastAsia="Times New Roman" w:hAnsi="Times New Roman" w:cs="Times New Roman"/>
          <w:color w:val="000000"/>
          <w:kern w:val="0"/>
          <w14:ligatures w14:val="none"/>
        </w:rPr>
        <w:t xml:space="preserve"> paper concludes that redirecting subsidies is crucial and that it is an optimal way to maximize shared benefits. </w:t>
      </w:r>
    </w:p>
    <w:p w14:paraId="3AC1BBF6" w14:textId="2E34E68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b/>
          <w:bCs/>
          <w:color w:val="000000"/>
          <w:kern w:val="0"/>
          <w14:ligatures w14:val="none"/>
        </w:rPr>
        <w:t>Introduction</w:t>
      </w:r>
    </w:p>
    <w:p w14:paraId="35549F64"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Political measures like sanctions, trade wars, tariffs, and domestic industrial policies may hinder indigenous technological innovation or, in some cases, accelerate it. Yet </w:t>
      </w:r>
      <w:proofErr w:type="gramStart"/>
      <w:r w:rsidRPr="000111D5">
        <w:rPr>
          <w:rFonts w:ascii="Times New Roman" w:eastAsia="Times New Roman" w:hAnsi="Times New Roman" w:cs="Times New Roman"/>
          <w:color w:val="000000"/>
          <w:kern w:val="0"/>
          <w14:ligatures w14:val="none"/>
        </w:rPr>
        <w:t>in spite of</w:t>
      </w:r>
      <w:proofErr w:type="gramEnd"/>
      <w:r w:rsidRPr="000111D5">
        <w:rPr>
          <w:rFonts w:ascii="Times New Roman" w:eastAsia="Times New Roman" w:hAnsi="Times New Roman" w:cs="Times New Roman"/>
          <w:color w:val="000000"/>
          <w:kern w:val="0"/>
          <w14:ligatures w14:val="none"/>
        </w:rPr>
        <w:t xml:space="preserve"> rapid technological advancements, innovation and R&amp;D resources can be misallocated, and politically driven innovation may boost certain firms while leaving the broader economy less dynamic (</w:t>
      </w:r>
      <w:proofErr w:type="spellStart"/>
      <w:r w:rsidRPr="000111D5">
        <w:rPr>
          <w:rFonts w:ascii="Times New Roman" w:eastAsia="Times New Roman" w:hAnsi="Times New Roman" w:cs="Times New Roman"/>
          <w:color w:val="000000"/>
          <w:kern w:val="0"/>
          <w14:ligatures w14:val="none"/>
        </w:rPr>
        <w:t>Akcigit</w:t>
      </w:r>
      <w:proofErr w:type="spellEnd"/>
      <w:r w:rsidRPr="000111D5">
        <w:rPr>
          <w:rFonts w:ascii="Times New Roman" w:eastAsia="Times New Roman" w:hAnsi="Times New Roman" w:cs="Times New Roman"/>
          <w:color w:val="000000"/>
          <w:kern w:val="0"/>
          <w14:ligatures w14:val="none"/>
        </w:rPr>
        <w:t xml:space="preserve">, </w:t>
      </w:r>
      <w:proofErr w:type="spellStart"/>
      <w:r w:rsidRPr="000111D5">
        <w:rPr>
          <w:rFonts w:ascii="Times New Roman" w:eastAsia="Times New Roman" w:hAnsi="Times New Roman" w:cs="Times New Roman"/>
          <w:color w:val="000000"/>
          <w:kern w:val="0"/>
          <w14:ligatures w14:val="none"/>
        </w:rPr>
        <w:t>Baslandze</w:t>
      </w:r>
      <w:proofErr w:type="spellEnd"/>
      <w:r w:rsidRPr="000111D5">
        <w:rPr>
          <w:rFonts w:ascii="Times New Roman" w:eastAsia="Times New Roman" w:hAnsi="Times New Roman" w:cs="Times New Roman"/>
          <w:color w:val="000000"/>
          <w:kern w:val="0"/>
          <w14:ligatures w14:val="none"/>
        </w:rPr>
        <w:t xml:space="preserve">, and Lotti). Some indigenous technological inventions do generate long-term spillovers—indirect benefits businesses gain from technological support given to another firm—benefiting the overall economy (Sung, Zhang, and Park). Rather than focusing on the speed of </w:t>
      </w:r>
      <w:r w:rsidRPr="000111D5">
        <w:rPr>
          <w:rFonts w:ascii="Times New Roman" w:eastAsia="Times New Roman" w:hAnsi="Times New Roman" w:cs="Times New Roman"/>
          <w:color w:val="000000"/>
          <w:kern w:val="0"/>
          <w14:ligatures w14:val="none"/>
        </w:rPr>
        <w:lastRenderedPageBreak/>
        <w:t>advancements per se, policies should prioritize steering them away from unequal access to political influence and market inefficiency and toward maximizing spillovers and shared benefits. This paper will examine the paradox of innovation by exploring how politics can misdirect resources, using the case of China’s politically connected firms to demonstrate the problem and propose targeted subsidies as a potential solution. Like the concept of velocity in physics that measures the speed of an object together with its direction of motion, sustainable growth is determined not only by ‘more’ or ‘rapid’ innovation but by the balancing of speed with direction. </w:t>
      </w:r>
    </w:p>
    <w:p w14:paraId="0B838971" w14:textId="4AAD55E0"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b/>
          <w:bCs/>
          <w:color w:val="000000"/>
          <w:kern w:val="0"/>
          <w14:ligatures w14:val="none"/>
        </w:rPr>
        <w:t>The Paradox of Innovation</w:t>
      </w:r>
    </w:p>
    <w:p w14:paraId="503C602F"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The number of industrial policies used by advanced economies has surged as they seek to boost innovation, and various countries are building up their domestic industries in areas like green technologies and advanced semiconductors (Fleming and Bounds). However, given that industrial policy is still prone to policy mistakes, projects can often entail high fiscal costs and negative cross-border spillovers if not carefully designed, even when they do transform industries (International Monetary Fund). Because knowledge spillovers reduce private incentives, a major problem is that firms tend to underinvest in those spillover-rich innovations unless properly supported. As Aghion and </w:t>
      </w:r>
      <w:proofErr w:type="spellStart"/>
      <w:r w:rsidRPr="000111D5">
        <w:rPr>
          <w:rFonts w:ascii="Times New Roman" w:eastAsia="Times New Roman" w:hAnsi="Times New Roman" w:cs="Times New Roman"/>
          <w:color w:val="000000"/>
          <w:kern w:val="0"/>
          <w14:ligatures w14:val="none"/>
        </w:rPr>
        <w:t>Jaravel</w:t>
      </w:r>
      <w:proofErr w:type="spellEnd"/>
      <w:r w:rsidRPr="000111D5">
        <w:rPr>
          <w:rFonts w:ascii="Times New Roman" w:eastAsia="Times New Roman" w:hAnsi="Times New Roman" w:cs="Times New Roman"/>
          <w:color w:val="000000"/>
          <w:kern w:val="0"/>
          <w14:ligatures w14:val="none"/>
        </w:rPr>
        <w:t xml:space="preserve"> note (2015), while innovation creates positive externalities, those spillovers can also diminish firms’ incentives to invest in R&amp;D, as the returns to innovation cannot be fully appropriated. The paradox is that technological innovations that deliver the greatest public value frequently hold the weakest private incentives for firms and, hence, do not attract enough private investors. </w:t>
      </w:r>
      <w:proofErr w:type="gramStart"/>
      <w:r w:rsidRPr="000111D5">
        <w:rPr>
          <w:rFonts w:ascii="Times New Roman" w:eastAsia="Times New Roman" w:hAnsi="Times New Roman" w:cs="Times New Roman"/>
          <w:color w:val="000000"/>
          <w:kern w:val="0"/>
          <w14:ligatures w14:val="none"/>
        </w:rPr>
        <w:t>In order to</w:t>
      </w:r>
      <w:proofErr w:type="gramEnd"/>
      <w:r w:rsidRPr="000111D5">
        <w:rPr>
          <w:rFonts w:ascii="Times New Roman" w:eastAsia="Times New Roman" w:hAnsi="Times New Roman" w:cs="Times New Roman"/>
          <w:color w:val="000000"/>
          <w:kern w:val="0"/>
          <w14:ligatures w14:val="none"/>
        </w:rPr>
        <w:t xml:space="preserve"> boost innovation and productivity without causing harm, governments may need to intervene and provide well-targeted support in </w:t>
      </w:r>
      <w:r w:rsidRPr="000111D5">
        <w:rPr>
          <w:rFonts w:ascii="Times New Roman" w:eastAsia="Times New Roman" w:hAnsi="Times New Roman" w:cs="Times New Roman"/>
          <w:color w:val="000000"/>
          <w:kern w:val="0"/>
          <w14:ligatures w14:val="none"/>
        </w:rPr>
        <w:lastRenderedPageBreak/>
        <w:t>public research and R&amp;D (Fleming and Bounds). Moreover, the interventions should be carefully designed to promote spillover-rich innovation rather than elite capture, since rent-seeking, corruption, and political capture can all result in welfare losses (Cherif et al.). This trade-off between government intervention and the risk of inefficiency can be clearly seen in international competitions for technological leadership. For example, the U.S.-China rivalry over high-performing AI chips can highlight how state-led support may drive innovation within the nation while simultaneously influencing internal policy choices that exclude broader societies. </w:t>
      </w:r>
    </w:p>
    <w:p w14:paraId="1774F796" w14:textId="617C24DF"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b/>
          <w:bCs/>
          <w:color w:val="000000"/>
          <w:kern w:val="0"/>
          <w14:ligatures w14:val="none"/>
        </w:rPr>
        <w:t>Innovation and Political Connections: Examples from China</w:t>
      </w:r>
    </w:p>
    <w:p w14:paraId="7D4B055D"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On the face of it, it may seem that blocking China from accessing high-performing AI chips could help the U.S. maintain global leadership. Some argue that restricting sales could block China from accessing the AI data </w:t>
      </w:r>
      <w:proofErr w:type="spellStart"/>
      <w:r w:rsidRPr="000111D5">
        <w:rPr>
          <w:rFonts w:ascii="Times New Roman" w:eastAsia="Times New Roman" w:hAnsi="Times New Roman" w:cs="Times New Roman"/>
          <w:color w:val="000000"/>
          <w:kern w:val="0"/>
          <w14:ligatures w14:val="none"/>
        </w:rPr>
        <w:t>center</w:t>
      </w:r>
      <w:proofErr w:type="spellEnd"/>
      <w:r w:rsidRPr="000111D5">
        <w:rPr>
          <w:rFonts w:ascii="Times New Roman" w:eastAsia="Times New Roman" w:hAnsi="Times New Roman" w:cs="Times New Roman"/>
          <w:color w:val="000000"/>
          <w:kern w:val="0"/>
          <w14:ligatures w14:val="none"/>
        </w:rPr>
        <w:t xml:space="preserve"> computing power it needs to compete effectively, thereby securing America’s status as the global AI leader. But U.S. restrictions on AI chips will likely push China to invest in growing its own capacity. For instance, Huawei’s enormous progress in recent years has left it with the expertise and funding needed to invest heavily in AI. The investments Huawei is already making would only increase in response to the expanded market opportunities within China and abroad created by the sanctions (Villasenor). This kind of state-led support can generate rapid innovation and important spillovers, as governments often implement policies such as subsidies, tariffs, and trade restrictions for the purpose of acceleration. </w:t>
      </w:r>
    </w:p>
    <w:p w14:paraId="4219B2C0"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However, the benefits of such state-driven policies are not distributed evenly. Studies suggest that certain politically connected firms in China’s AI sector are more likely to secure government </w:t>
      </w:r>
      <w:r w:rsidRPr="000111D5">
        <w:rPr>
          <w:rFonts w:ascii="Times New Roman" w:eastAsia="Times New Roman" w:hAnsi="Times New Roman" w:cs="Times New Roman"/>
          <w:color w:val="000000"/>
          <w:kern w:val="0"/>
          <w14:ligatures w14:val="none"/>
        </w:rPr>
        <w:lastRenderedPageBreak/>
        <w:t xml:space="preserve">support, subsidies, contracts, and </w:t>
      </w:r>
      <w:proofErr w:type="spellStart"/>
      <w:r w:rsidRPr="000111D5">
        <w:rPr>
          <w:rFonts w:ascii="Times New Roman" w:eastAsia="Times New Roman" w:hAnsi="Times New Roman" w:cs="Times New Roman"/>
          <w:color w:val="000000"/>
          <w:kern w:val="0"/>
          <w14:ligatures w14:val="none"/>
        </w:rPr>
        <w:t>favorable</w:t>
      </w:r>
      <w:proofErr w:type="spellEnd"/>
      <w:r w:rsidRPr="000111D5">
        <w:rPr>
          <w:rFonts w:ascii="Times New Roman" w:eastAsia="Times New Roman" w:hAnsi="Times New Roman" w:cs="Times New Roman"/>
          <w:color w:val="000000"/>
          <w:kern w:val="0"/>
          <w14:ligatures w14:val="none"/>
        </w:rPr>
        <w:t xml:space="preserve"> treatment over the most innovative (Low). This can lead to rent-seeking </w:t>
      </w:r>
      <w:proofErr w:type="spellStart"/>
      <w:r w:rsidRPr="000111D5">
        <w:rPr>
          <w:rFonts w:ascii="Times New Roman" w:eastAsia="Times New Roman" w:hAnsi="Times New Roman" w:cs="Times New Roman"/>
          <w:color w:val="000000"/>
          <w:kern w:val="0"/>
          <w14:ligatures w14:val="none"/>
        </w:rPr>
        <w:t>behavior</w:t>
      </w:r>
      <w:proofErr w:type="spellEnd"/>
      <w:r w:rsidRPr="000111D5">
        <w:rPr>
          <w:rFonts w:ascii="Times New Roman" w:eastAsia="Times New Roman" w:hAnsi="Times New Roman" w:cs="Times New Roman"/>
          <w:color w:val="000000"/>
          <w:kern w:val="0"/>
          <w14:ligatures w14:val="none"/>
        </w:rPr>
        <w:t xml:space="preserve">, which pushes firms to focus more on exploiting political connections rather than on innovation (Cheng &amp; Li). To exemplify, </w:t>
      </w:r>
      <w:proofErr w:type="spellStart"/>
      <w:r w:rsidRPr="000111D5">
        <w:rPr>
          <w:rFonts w:ascii="Times New Roman" w:eastAsia="Times New Roman" w:hAnsi="Times New Roman" w:cs="Times New Roman"/>
          <w:color w:val="000000"/>
          <w:kern w:val="0"/>
          <w14:ligatures w14:val="none"/>
        </w:rPr>
        <w:t>SenseTime</w:t>
      </w:r>
      <w:proofErr w:type="spellEnd"/>
      <w:r w:rsidRPr="000111D5">
        <w:rPr>
          <w:rFonts w:ascii="Times New Roman" w:eastAsia="Times New Roman" w:hAnsi="Times New Roman" w:cs="Times New Roman"/>
          <w:color w:val="000000"/>
          <w:kern w:val="0"/>
          <w14:ligatures w14:val="none"/>
        </w:rPr>
        <w:t xml:space="preserve">, one of China’s flagship AI companies, </w:t>
      </w:r>
      <w:proofErr w:type="gramStart"/>
      <w:r w:rsidRPr="000111D5">
        <w:rPr>
          <w:rFonts w:ascii="Times New Roman" w:eastAsia="Times New Roman" w:hAnsi="Times New Roman" w:cs="Times New Roman"/>
          <w:color w:val="000000"/>
          <w:kern w:val="0"/>
          <w14:ligatures w14:val="none"/>
        </w:rPr>
        <w:t>was capable of scaling</w:t>
      </w:r>
      <w:proofErr w:type="gramEnd"/>
      <w:r w:rsidRPr="000111D5">
        <w:rPr>
          <w:rFonts w:ascii="Times New Roman" w:eastAsia="Times New Roman" w:hAnsi="Times New Roman" w:cs="Times New Roman"/>
          <w:color w:val="000000"/>
          <w:kern w:val="0"/>
          <w14:ligatures w14:val="none"/>
        </w:rPr>
        <w:t xml:space="preserve"> its operations and achieving a valuation of over $7.5 billion with robust government support like generous subsidies. Yet, </w:t>
      </w:r>
      <w:proofErr w:type="spellStart"/>
      <w:r w:rsidRPr="000111D5">
        <w:rPr>
          <w:rFonts w:ascii="Times New Roman" w:eastAsia="Times New Roman" w:hAnsi="Times New Roman" w:cs="Times New Roman"/>
          <w:color w:val="000000"/>
          <w:kern w:val="0"/>
          <w14:ligatures w14:val="none"/>
        </w:rPr>
        <w:t>SenseTime’s</w:t>
      </w:r>
      <w:proofErr w:type="spellEnd"/>
      <w:r w:rsidRPr="000111D5">
        <w:rPr>
          <w:rFonts w:ascii="Times New Roman" w:eastAsia="Times New Roman" w:hAnsi="Times New Roman" w:cs="Times New Roman"/>
          <w:color w:val="000000"/>
          <w:kern w:val="0"/>
          <w14:ligatures w14:val="none"/>
        </w:rPr>
        <w:t xml:space="preserve"> stock price has since plummeted, highlighting how political incentives can inflate valuations and sustain firms regardless of their actual market strength (Low). Additionally, data demonstrates that China grants more subsidies to manufacturing firms more connected to the party-state, and that the positive effects of subsidies on local manufacturing growth and on firm-level productivity tend to decrease (Lee). Here the paradox deepens: spillover-rich innovations, which already lack private incentives, continue to be underinvested, while politically connected firms continue to capture excess resources. </w:t>
      </w:r>
    </w:p>
    <w:p w14:paraId="550B2529" w14:textId="65C47901"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b/>
          <w:bCs/>
          <w:color w:val="000000"/>
          <w:kern w:val="0"/>
          <w14:ligatures w14:val="none"/>
        </w:rPr>
        <w:t>Target subsidies to spillover-rich industries</w:t>
      </w:r>
    </w:p>
    <w:p w14:paraId="279D8BE9"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In addressing this paradox, states should redirect subsidies toward sectors with knowledge spillovers rather than politically allocated subsidies. Since innovations with the greatest public impact and the highest knowledge spillovers are often the least profitable, firms have little incentive to invest in them. </w:t>
      </w:r>
    </w:p>
    <w:p w14:paraId="620D2057"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A government seeking to invest in innovation support programs must account for these positive spillovers—the indirect benefits gained by other firms and society from an innovation—when making decisions. If spillovers are positive but are excluded from any assessment, the returns to the investment will be underreported, leading to underinvestment, a form of market failure where </w:t>
      </w:r>
      <w:r w:rsidRPr="000111D5">
        <w:rPr>
          <w:rFonts w:ascii="Times New Roman" w:eastAsia="Times New Roman" w:hAnsi="Times New Roman" w:cs="Times New Roman"/>
          <w:color w:val="000000"/>
          <w:kern w:val="0"/>
          <w14:ligatures w14:val="none"/>
        </w:rPr>
        <w:lastRenderedPageBreak/>
        <w:t>resources are not allocated efficiently. The presence of positive innovation spillovers provides a rationale for increased government intervention, which is necessary to correct this underinvestment and achieve optimal social welfare outcomes (Medhurst et al.). </w:t>
      </w:r>
    </w:p>
    <w:p w14:paraId="2C9E9A60"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One way to achieve this is by targeting subsidies to spillover-rich industries. By helping businesses reduce the costs and risks of technological innovation, subsidies can close the return on investment gap between society and private firms and relieve financial pressure. Studies show that government-subsidized businesses typically have high technological content, strong overall strength, </w:t>
      </w:r>
      <w:proofErr w:type="spellStart"/>
      <w:r w:rsidRPr="000111D5">
        <w:rPr>
          <w:rFonts w:ascii="Times New Roman" w:eastAsia="Times New Roman" w:hAnsi="Times New Roman" w:cs="Times New Roman"/>
          <w:color w:val="000000"/>
          <w:kern w:val="0"/>
          <w14:ligatures w14:val="none"/>
        </w:rPr>
        <w:t>favorable</w:t>
      </w:r>
      <w:proofErr w:type="spellEnd"/>
      <w:r w:rsidRPr="000111D5">
        <w:rPr>
          <w:rFonts w:ascii="Times New Roman" w:eastAsia="Times New Roman" w:hAnsi="Times New Roman" w:cs="Times New Roman"/>
          <w:color w:val="000000"/>
          <w:kern w:val="0"/>
          <w14:ligatures w14:val="none"/>
        </w:rPr>
        <w:t xml:space="preserve"> development prospects, and an improved ability to attract investors (Ding et al.). </w:t>
      </w:r>
    </w:p>
    <w:p w14:paraId="018D7DEE" w14:textId="1AD8415F"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br/>
      </w:r>
      <w:r w:rsidRPr="000111D5">
        <w:rPr>
          <w:rFonts w:ascii="Times New Roman" w:eastAsia="Times New Roman" w:hAnsi="Times New Roman" w:cs="Times New Roman"/>
          <w:b/>
          <w:bCs/>
          <w:color w:val="000000"/>
          <w:kern w:val="0"/>
          <w14:ligatures w14:val="none"/>
        </w:rPr>
        <w:t>Conclusion</w:t>
      </w:r>
    </w:p>
    <w:p w14:paraId="2C24BAE0" w14:textId="77777777" w:rsidR="000111D5" w:rsidRPr="000111D5" w:rsidRDefault="000111D5" w:rsidP="000111D5">
      <w:pPr>
        <w:spacing w:before="240" w:after="24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This essay has shown that political measures like state subsidies and industrial policies play a paradoxical role in shaping indigenous technological innovation. They can either impede progress by misallocating resources and </w:t>
      </w:r>
      <w:proofErr w:type="spellStart"/>
      <w:r w:rsidRPr="000111D5">
        <w:rPr>
          <w:rFonts w:ascii="Times New Roman" w:eastAsia="Times New Roman" w:hAnsi="Times New Roman" w:cs="Times New Roman"/>
          <w:color w:val="000000"/>
          <w:kern w:val="0"/>
          <w14:ligatures w14:val="none"/>
        </w:rPr>
        <w:t>favoring</w:t>
      </w:r>
      <w:proofErr w:type="spellEnd"/>
      <w:r w:rsidRPr="000111D5">
        <w:rPr>
          <w:rFonts w:ascii="Times New Roman" w:eastAsia="Times New Roman" w:hAnsi="Times New Roman" w:cs="Times New Roman"/>
          <w:color w:val="000000"/>
          <w:kern w:val="0"/>
          <w14:ligatures w14:val="none"/>
        </w:rPr>
        <w:t xml:space="preserve"> politically connected firms or accelerate it by supporting socially valuable innovations overlooked by investors. This view is further justified by professionals like Era </w:t>
      </w:r>
      <w:proofErr w:type="spellStart"/>
      <w:r w:rsidRPr="000111D5">
        <w:rPr>
          <w:rFonts w:ascii="Times New Roman" w:eastAsia="Times New Roman" w:hAnsi="Times New Roman" w:cs="Times New Roman"/>
          <w:color w:val="000000"/>
          <w:kern w:val="0"/>
          <w14:ligatures w14:val="none"/>
        </w:rPr>
        <w:t>Dabla</w:t>
      </w:r>
      <w:proofErr w:type="spellEnd"/>
      <w:r w:rsidRPr="000111D5">
        <w:rPr>
          <w:rFonts w:ascii="Times New Roman" w:eastAsia="Times New Roman" w:hAnsi="Times New Roman" w:cs="Times New Roman"/>
          <w:color w:val="000000"/>
          <w:kern w:val="0"/>
          <w14:ligatures w14:val="none"/>
        </w:rPr>
        <w:t xml:space="preserve">-Norris, the deputy director of the IMF’s fiscal affairs department, who states that “using industrial policy to promote innovation was only worth it if the benefits could be well identified and measured, and the subsidies were provided to sectors that generated higher knowledge spillovers to other sectors” (Elliott). In short, it is not political intervention itself that determines innovation, but whether such measurements encourage and advance firms that </w:t>
      </w:r>
      <w:proofErr w:type="gramStart"/>
      <w:r w:rsidRPr="000111D5">
        <w:rPr>
          <w:rFonts w:ascii="Times New Roman" w:eastAsia="Times New Roman" w:hAnsi="Times New Roman" w:cs="Times New Roman"/>
          <w:color w:val="000000"/>
          <w:kern w:val="0"/>
          <w14:ligatures w14:val="none"/>
        </w:rPr>
        <w:t>are capable of producing</w:t>
      </w:r>
      <w:proofErr w:type="gramEnd"/>
      <w:r w:rsidRPr="000111D5">
        <w:rPr>
          <w:rFonts w:ascii="Times New Roman" w:eastAsia="Times New Roman" w:hAnsi="Times New Roman" w:cs="Times New Roman"/>
          <w:color w:val="000000"/>
          <w:kern w:val="0"/>
          <w14:ligatures w14:val="none"/>
        </w:rPr>
        <w:t xml:space="preserve"> long-term, spillover-rich innovation within the country. </w:t>
      </w:r>
    </w:p>
    <w:p w14:paraId="685B626A" w14:textId="16B05574" w:rsidR="000111D5" w:rsidRPr="000111D5" w:rsidRDefault="000111D5" w:rsidP="00C92A21">
      <w:pPr>
        <w:spacing w:after="240" w:line="24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lastRenderedPageBreak/>
        <w:br/>
        <w:t>Works Cited</w:t>
      </w:r>
    </w:p>
    <w:p w14:paraId="14DB69CB" w14:textId="77777777" w:rsidR="000111D5" w:rsidRPr="000111D5" w:rsidRDefault="000111D5" w:rsidP="000111D5">
      <w:pPr>
        <w:spacing w:after="0" w:line="240" w:lineRule="auto"/>
        <w:rPr>
          <w:rFonts w:ascii="Times New Roman" w:eastAsia="Times New Roman" w:hAnsi="Times New Roman" w:cs="Times New Roman"/>
          <w:color w:val="000000"/>
          <w:kern w:val="0"/>
          <w14:ligatures w14:val="none"/>
        </w:rPr>
      </w:pPr>
    </w:p>
    <w:p w14:paraId="3E8E819B" w14:textId="77777777" w:rsid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proofErr w:type="spellStart"/>
      <w:r w:rsidRPr="000111D5">
        <w:rPr>
          <w:rFonts w:ascii="Times New Roman" w:eastAsia="Times New Roman" w:hAnsi="Times New Roman" w:cs="Times New Roman"/>
          <w:color w:val="000000"/>
          <w:kern w:val="0"/>
          <w14:ligatures w14:val="none"/>
        </w:rPr>
        <w:t>Ackigit</w:t>
      </w:r>
      <w:proofErr w:type="spellEnd"/>
      <w:r w:rsidRPr="000111D5">
        <w:rPr>
          <w:rFonts w:ascii="Times New Roman" w:eastAsia="Times New Roman" w:hAnsi="Times New Roman" w:cs="Times New Roman"/>
          <w:color w:val="000000"/>
          <w:kern w:val="0"/>
          <w14:ligatures w14:val="none"/>
        </w:rPr>
        <w:t xml:space="preserve">, Ufuk, Salomé </w:t>
      </w:r>
      <w:proofErr w:type="spellStart"/>
      <w:r w:rsidRPr="000111D5">
        <w:rPr>
          <w:rFonts w:ascii="Times New Roman" w:eastAsia="Times New Roman" w:hAnsi="Times New Roman" w:cs="Times New Roman"/>
          <w:color w:val="000000"/>
          <w:kern w:val="0"/>
          <w14:ligatures w14:val="none"/>
        </w:rPr>
        <w:t>Baslandze</w:t>
      </w:r>
      <w:proofErr w:type="spellEnd"/>
      <w:r w:rsidRPr="000111D5">
        <w:rPr>
          <w:rFonts w:ascii="Times New Roman" w:eastAsia="Times New Roman" w:hAnsi="Times New Roman" w:cs="Times New Roman"/>
          <w:color w:val="000000"/>
          <w:kern w:val="0"/>
          <w14:ligatures w14:val="none"/>
        </w:rPr>
        <w:t>, and Francesca Lotti. “</w:t>
      </w:r>
      <w:r w:rsidRPr="000111D5">
        <w:rPr>
          <w:rFonts w:ascii="Times New Roman" w:eastAsia="Times New Roman" w:hAnsi="Times New Roman" w:cs="Times New Roman"/>
          <w:color w:val="1C1D1E"/>
          <w:kern w:val="0"/>
          <w:shd w:val="clear" w:color="auto" w:fill="FFFFFF"/>
          <w14:ligatures w14:val="none"/>
        </w:rPr>
        <w:t xml:space="preserve">Connecting to Power: Political Connections, Innovation, and Firm Dynamics.” </w:t>
      </w:r>
      <w:proofErr w:type="spellStart"/>
      <w:r w:rsidRPr="000111D5">
        <w:rPr>
          <w:rFonts w:ascii="Times New Roman" w:eastAsia="Times New Roman" w:hAnsi="Times New Roman" w:cs="Times New Roman"/>
          <w:i/>
          <w:iCs/>
          <w:color w:val="1C1D1E"/>
          <w:kern w:val="0"/>
          <w:shd w:val="clear" w:color="auto" w:fill="FFFFFF"/>
          <w14:ligatures w14:val="none"/>
        </w:rPr>
        <w:t>Econometrica</w:t>
      </w:r>
      <w:proofErr w:type="spellEnd"/>
      <w:r w:rsidRPr="000111D5">
        <w:rPr>
          <w:rFonts w:ascii="Times New Roman" w:eastAsia="Times New Roman" w:hAnsi="Times New Roman" w:cs="Times New Roman"/>
          <w:color w:val="1C1D1E"/>
          <w:kern w:val="0"/>
          <w:shd w:val="clear" w:color="auto" w:fill="FFFFFF"/>
          <w14:ligatures w14:val="none"/>
        </w:rPr>
        <w:t xml:space="preserve">, vol. 91, no. 2, 17 Mar. 2023, </w:t>
      </w:r>
      <w:hyperlink r:id="rId5" w:history="1">
        <w:r w:rsidRPr="000111D5">
          <w:rPr>
            <w:rFonts w:ascii="Times New Roman" w:eastAsia="Times New Roman" w:hAnsi="Times New Roman" w:cs="Times New Roman"/>
            <w:color w:val="1155CC"/>
            <w:kern w:val="0"/>
            <w:u w:val="single"/>
            <w14:ligatures w14:val="none"/>
          </w:rPr>
          <w:t>https://onlinelibrary.wiley.com/doi/abs/10.3982/ECTA18338</w:t>
        </w:r>
      </w:hyperlink>
      <w:r w:rsidRPr="000111D5">
        <w:rPr>
          <w:rFonts w:ascii="Times New Roman" w:eastAsia="Times New Roman" w:hAnsi="Times New Roman" w:cs="Times New Roman"/>
          <w:color w:val="000000"/>
          <w:kern w:val="0"/>
          <w14:ligatures w14:val="none"/>
        </w:rPr>
        <w:t>.</w:t>
      </w:r>
    </w:p>
    <w:p w14:paraId="1F5DFC95" w14:textId="77777777" w:rsid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Aghion, Philippe, and Xavier </w:t>
      </w:r>
      <w:proofErr w:type="spellStart"/>
      <w:r w:rsidRPr="000111D5">
        <w:rPr>
          <w:rFonts w:ascii="Times New Roman" w:eastAsia="Times New Roman" w:hAnsi="Times New Roman" w:cs="Times New Roman"/>
          <w:color w:val="000000"/>
          <w:kern w:val="0"/>
          <w14:ligatures w14:val="none"/>
        </w:rPr>
        <w:t>Jaravel</w:t>
      </w:r>
      <w:proofErr w:type="spellEnd"/>
      <w:r w:rsidRPr="000111D5">
        <w:rPr>
          <w:rFonts w:ascii="Times New Roman" w:eastAsia="Times New Roman" w:hAnsi="Times New Roman" w:cs="Times New Roman"/>
          <w:color w:val="000000"/>
          <w:kern w:val="0"/>
          <w14:ligatures w14:val="none"/>
        </w:rPr>
        <w:t>. “</w:t>
      </w:r>
      <w:r w:rsidRPr="000111D5">
        <w:rPr>
          <w:rFonts w:ascii="Times New Roman" w:eastAsia="Times New Roman" w:hAnsi="Times New Roman" w:cs="Times New Roman"/>
          <w:color w:val="1C1D1E"/>
          <w:kern w:val="0"/>
          <w:shd w:val="clear" w:color="auto" w:fill="FFFFFF"/>
          <w14:ligatures w14:val="none"/>
        </w:rPr>
        <w:t>Knowledge Spillovers, Innovation and Growth</w:t>
      </w:r>
      <w:r w:rsidRPr="000111D5">
        <w:rPr>
          <w:rFonts w:ascii="Times New Roman" w:eastAsia="Times New Roman" w:hAnsi="Times New Roman" w:cs="Times New Roman"/>
          <w:color w:val="000000"/>
          <w:kern w:val="0"/>
          <w14:ligatures w14:val="none"/>
        </w:rPr>
        <w:t xml:space="preserve">.” </w:t>
      </w:r>
      <w:r w:rsidRPr="000111D5">
        <w:rPr>
          <w:rFonts w:ascii="Times New Roman" w:eastAsia="Times New Roman" w:hAnsi="Times New Roman" w:cs="Times New Roman"/>
          <w:i/>
          <w:iCs/>
          <w:color w:val="000000"/>
          <w:kern w:val="0"/>
          <w14:ligatures w14:val="none"/>
        </w:rPr>
        <w:t>The Economic Journal</w:t>
      </w:r>
      <w:r w:rsidRPr="000111D5">
        <w:rPr>
          <w:rFonts w:ascii="Times New Roman" w:eastAsia="Times New Roman" w:hAnsi="Times New Roman" w:cs="Times New Roman"/>
          <w:color w:val="000000"/>
          <w:kern w:val="0"/>
          <w14:ligatures w14:val="none"/>
        </w:rPr>
        <w:t xml:space="preserve">, vol. 125, no. 583, 29 Mar. 2015. </w:t>
      </w:r>
      <w:hyperlink r:id="rId6" w:history="1">
        <w:r w:rsidRPr="000111D5">
          <w:rPr>
            <w:rFonts w:ascii="Times New Roman" w:eastAsia="Times New Roman" w:hAnsi="Times New Roman" w:cs="Times New Roman"/>
            <w:color w:val="1155CC"/>
            <w:kern w:val="0"/>
            <w:u w:val="single"/>
            <w14:ligatures w14:val="none"/>
          </w:rPr>
          <w:t>https://onlinelibrary.wiley.com/doi/full/10.1111/ecoj.12199</w:t>
        </w:r>
      </w:hyperlink>
    </w:p>
    <w:p w14:paraId="426F3A01" w14:textId="77777777"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Cheng, Lei, and </w:t>
      </w:r>
      <w:proofErr w:type="spellStart"/>
      <w:r w:rsidRPr="000111D5">
        <w:rPr>
          <w:rFonts w:ascii="Times New Roman" w:eastAsia="Times New Roman" w:hAnsi="Times New Roman" w:cs="Times New Roman"/>
          <w:color w:val="000000"/>
          <w:kern w:val="0"/>
          <w14:ligatures w14:val="none"/>
        </w:rPr>
        <w:t>Zhimin</w:t>
      </w:r>
      <w:proofErr w:type="spellEnd"/>
      <w:r w:rsidRPr="000111D5">
        <w:rPr>
          <w:rFonts w:ascii="Times New Roman" w:eastAsia="Times New Roman" w:hAnsi="Times New Roman" w:cs="Times New Roman"/>
          <w:color w:val="000000"/>
          <w:kern w:val="0"/>
          <w14:ligatures w14:val="none"/>
        </w:rPr>
        <w:t xml:space="preserve"> Li. “</w:t>
      </w:r>
      <w:r w:rsidRPr="000111D5">
        <w:rPr>
          <w:rFonts w:ascii="Times New Roman" w:eastAsia="Times New Roman" w:hAnsi="Times New Roman" w:cs="Times New Roman"/>
          <w:color w:val="222222"/>
          <w:kern w:val="0"/>
          <w14:ligatures w14:val="none"/>
        </w:rPr>
        <w:t xml:space="preserve">Political Connections, Competition, and Innovation: Quasi-Experimental Evidence from Chinese Firms.” </w:t>
      </w:r>
      <w:r w:rsidRPr="000111D5">
        <w:rPr>
          <w:rFonts w:ascii="Times New Roman" w:eastAsia="Times New Roman" w:hAnsi="Times New Roman" w:cs="Times New Roman"/>
          <w:i/>
          <w:iCs/>
          <w:color w:val="222222"/>
          <w:kern w:val="0"/>
          <w14:ligatures w14:val="none"/>
        </w:rPr>
        <w:t>SSRN</w:t>
      </w:r>
      <w:r w:rsidRPr="000111D5">
        <w:rPr>
          <w:rFonts w:ascii="Times New Roman" w:eastAsia="Times New Roman" w:hAnsi="Times New Roman" w:cs="Times New Roman"/>
          <w:color w:val="222222"/>
          <w:kern w:val="0"/>
          <w14:ligatures w14:val="none"/>
        </w:rPr>
        <w:t>, 4 May 2021.</w:t>
      </w:r>
      <w:r>
        <w:rPr>
          <w:rFonts w:ascii="Times New Roman" w:eastAsia="Times New Roman" w:hAnsi="Times New Roman" w:cs="Times New Roman"/>
          <w:color w:val="1155CC"/>
          <w:kern w:val="0"/>
          <w:u w:val="single"/>
          <w14:ligatures w14:val="none"/>
        </w:rPr>
        <w:fldChar w:fldCharType="begin"/>
      </w:r>
      <w:r>
        <w:rPr>
          <w:rFonts w:ascii="Times New Roman" w:eastAsia="Times New Roman" w:hAnsi="Times New Roman" w:cs="Times New Roman"/>
          <w:color w:val="1155CC"/>
          <w:kern w:val="0"/>
          <w:u w:val="single"/>
          <w14:ligatures w14:val="none"/>
        </w:rPr>
        <w:instrText>HYPERLINK "</w:instrText>
      </w:r>
      <w:r w:rsidRPr="000111D5">
        <w:rPr>
          <w:rFonts w:ascii="Times New Roman" w:eastAsia="Times New Roman" w:hAnsi="Times New Roman" w:cs="Times New Roman"/>
          <w:color w:val="1155CC"/>
          <w:kern w:val="0"/>
          <w:u w:val="single"/>
          <w14:ligatures w14:val="none"/>
        </w:rPr>
        <w:instrText>https://papers.ssrn.com/sol3/papers.cfm?abstract_id=3836541</w:instrText>
      </w:r>
      <w:r>
        <w:rPr>
          <w:rFonts w:ascii="Times New Roman" w:eastAsia="Times New Roman" w:hAnsi="Times New Roman" w:cs="Times New Roman"/>
          <w:color w:val="1155CC"/>
          <w:kern w:val="0"/>
          <w:u w:val="single"/>
          <w14:ligatures w14:val="none"/>
        </w:rPr>
        <w:instrText>"</w:instrText>
      </w:r>
      <w:r>
        <w:rPr>
          <w:rFonts w:ascii="Times New Roman" w:eastAsia="Times New Roman" w:hAnsi="Times New Roman" w:cs="Times New Roman"/>
          <w:color w:val="1155CC"/>
          <w:kern w:val="0"/>
          <w:u w:val="single"/>
          <w14:ligatures w14:val="none"/>
        </w:rPr>
        <w:fldChar w:fldCharType="separate"/>
      </w:r>
      <w:r w:rsidRPr="008926C9">
        <w:rPr>
          <w:rStyle w:val="Hyperlink"/>
          <w:rFonts w:ascii="Times New Roman" w:eastAsia="Times New Roman" w:hAnsi="Times New Roman" w:cs="Times New Roman"/>
          <w:kern w:val="0"/>
          <w14:ligatures w14:val="none"/>
        </w:rPr>
        <w:t>https://papers.ssrn.com/sol3/papers.cfm?abstract_id=3836541</w:t>
      </w:r>
      <w:r>
        <w:rPr>
          <w:rFonts w:ascii="Times New Roman" w:eastAsia="Times New Roman" w:hAnsi="Times New Roman" w:cs="Times New Roman"/>
          <w:color w:val="1155CC"/>
          <w:kern w:val="0"/>
          <w:u w:val="single"/>
          <w14:ligatures w14:val="none"/>
        </w:rPr>
        <w:fldChar w:fldCharType="end"/>
      </w:r>
    </w:p>
    <w:p w14:paraId="07E3B276" w14:textId="35C190C6" w:rsid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Cherif et al. “Industrial Policy for Growth and Diversification: A Conceptual Framework.” IMF, 30 Sep. 2022. IMF </w:t>
      </w:r>
      <w:proofErr w:type="spellStart"/>
      <w:r w:rsidRPr="000111D5">
        <w:rPr>
          <w:rFonts w:ascii="Times New Roman" w:eastAsia="Times New Roman" w:hAnsi="Times New Roman" w:cs="Times New Roman"/>
          <w:color w:val="000000"/>
          <w:kern w:val="0"/>
          <w14:ligatures w14:val="none"/>
        </w:rPr>
        <w:t>eLibrary</w:t>
      </w:r>
      <w:proofErr w:type="spellEnd"/>
      <w:r w:rsidRPr="000111D5">
        <w:rPr>
          <w:rFonts w:ascii="Times New Roman" w:eastAsia="Times New Roman" w:hAnsi="Times New Roman" w:cs="Times New Roman"/>
          <w:color w:val="000000"/>
          <w:kern w:val="0"/>
          <w14:ligatures w14:val="none"/>
        </w:rPr>
        <w:t xml:space="preserve">. </w:t>
      </w:r>
      <w:hyperlink r:id="rId7" w:history="1">
        <w:r w:rsidR="00C92A21" w:rsidRPr="008926C9">
          <w:rPr>
            <w:rStyle w:val="Hyperlink"/>
            <w:rFonts w:ascii="Times New Roman" w:eastAsia="Times New Roman" w:hAnsi="Times New Roman" w:cs="Times New Roman"/>
            <w:kern w:val="0"/>
            <w14:ligatures w14:val="none"/>
          </w:rPr>
          <w:t>https://www.imf.org/en/Publications/Departmental-Papers-Policy-Papers/Issues/2022/09/28/Industrial-Policy-for-Growth-and-Diversification-A-Conceptual-Framework-519714</w:t>
        </w:r>
      </w:hyperlink>
      <w:r w:rsidR="00C92A21">
        <w:rPr>
          <w:rFonts w:ascii="Times New Roman" w:eastAsia="Times New Roman" w:hAnsi="Times New Roman" w:cs="Times New Roman"/>
          <w:color w:val="000000"/>
          <w:kern w:val="0"/>
          <w14:ligatures w14:val="none"/>
        </w:rPr>
        <w:t xml:space="preserve"> </w:t>
      </w:r>
    </w:p>
    <w:p w14:paraId="2FD78B3E" w14:textId="77777777"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Ding et al. “</w:t>
      </w:r>
      <w:r w:rsidRPr="000111D5">
        <w:rPr>
          <w:rFonts w:ascii="Times New Roman" w:eastAsia="Times New Roman" w:hAnsi="Times New Roman" w:cs="Times New Roman"/>
          <w:color w:val="1B1B1B"/>
          <w:kern w:val="0"/>
          <w14:ligatures w14:val="none"/>
        </w:rPr>
        <w:t xml:space="preserve">Guidance' or ‘Misleading'? The government subsidy and the choice of enterprise innovation strategy.” </w:t>
      </w:r>
      <w:r w:rsidRPr="000111D5">
        <w:rPr>
          <w:rFonts w:ascii="Times New Roman" w:eastAsia="Times New Roman" w:hAnsi="Times New Roman" w:cs="Times New Roman"/>
          <w:i/>
          <w:iCs/>
          <w:color w:val="1B1B1B"/>
          <w:kern w:val="0"/>
          <w14:ligatures w14:val="none"/>
        </w:rPr>
        <w:t>Frontiers in Psychology</w:t>
      </w:r>
      <w:r w:rsidRPr="000111D5">
        <w:rPr>
          <w:rFonts w:ascii="Times New Roman" w:eastAsia="Times New Roman" w:hAnsi="Times New Roman" w:cs="Times New Roman"/>
          <w:color w:val="1B1B1B"/>
          <w:kern w:val="0"/>
          <w14:ligatures w14:val="none"/>
        </w:rPr>
        <w:t>, 9 Sep. 2022. </w:t>
      </w:r>
      <w:r>
        <w:rPr>
          <w:rFonts w:ascii="Times New Roman" w:eastAsia="Times New Roman" w:hAnsi="Times New Roman" w:cs="Times New Roman"/>
          <w:color w:val="1155CC"/>
          <w:kern w:val="0"/>
          <w:u w:val="single"/>
          <w14:ligatures w14:val="none"/>
        </w:rPr>
        <w:fldChar w:fldCharType="begin"/>
      </w:r>
      <w:r>
        <w:rPr>
          <w:rFonts w:ascii="Times New Roman" w:eastAsia="Times New Roman" w:hAnsi="Times New Roman" w:cs="Times New Roman"/>
          <w:color w:val="1155CC"/>
          <w:kern w:val="0"/>
          <w:u w:val="single"/>
          <w14:ligatures w14:val="none"/>
        </w:rPr>
        <w:instrText>HYPERLINK "</w:instrText>
      </w:r>
      <w:r w:rsidRPr="000111D5">
        <w:rPr>
          <w:rFonts w:ascii="Times New Roman" w:eastAsia="Times New Roman" w:hAnsi="Times New Roman" w:cs="Times New Roman"/>
          <w:color w:val="1155CC"/>
          <w:kern w:val="0"/>
          <w:u w:val="single"/>
          <w14:ligatures w14:val="none"/>
        </w:rPr>
        <w:instrText>https://pmc.ncbi.nlm.nih.gov/articles/PMC9577670/</w:instrText>
      </w:r>
      <w:r>
        <w:rPr>
          <w:rFonts w:ascii="Times New Roman" w:eastAsia="Times New Roman" w:hAnsi="Times New Roman" w:cs="Times New Roman"/>
          <w:color w:val="1155CC"/>
          <w:kern w:val="0"/>
          <w:u w:val="single"/>
          <w14:ligatures w14:val="none"/>
        </w:rPr>
        <w:instrText>"</w:instrText>
      </w:r>
      <w:r>
        <w:rPr>
          <w:rFonts w:ascii="Times New Roman" w:eastAsia="Times New Roman" w:hAnsi="Times New Roman" w:cs="Times New Roman"/>
          <w:color w:val="1155CC"/>
          <w:kern w:val="0"/>
          <w:u w:val="single"/>
          <w14:ligatures w14:val="none"/>
        </w:rPr>
        <w:fldChar w:fldCharType="separate"/>
      </w:r>
      <w:r w:rsidRPr="008926C9">
        <w:rPr>
          <w:rStyle w:val="Hyperlink"/>
          <w:rFonts w:ascii="Times New Roman" w:eastAsia="Times New Roman" w:hAnsi="Times New Roman" w:cs="Times New Roman"/>
          <w:kern w:val="0"/>
          <w14:ligatures w14:val="none"/>
        </w:rPr>
        <w:t>https://pmc.ncbi.nlm.nih.gov/articles/PMC9577670/</w:t>
      </w:r>
      <w:r>
        <w:rPr>
          <w:rFonts w:ascii="Times New Roman" w:eastAsia="Times New Roman" w:hAnsi="Times New Roman" w:cs="Times New Roman"/>
          <w:color w:val="1155CC"/>
          <w:kern w:val="0"/>
          <w:u w:val="single"/>
          <w14:ligatures w14:val="none"/>
        </w:rPr>
        <w:fldChar w:fldCharType="end"/>
      </w:r>
    </w:p>
    <w:p w14:paraId="1E0199C2" w14:textId="39356D21" w:rsidR="00C92A21" w:rsidRPr="00C92A21"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C92A21">
        <w:rPr>
          <w:rFonts w:ascii="Times New Roman" w:eastAsia="Times New Roman" w:hAnsi="Times New Roman" w:cs="Times New Roman"/>
          <w:color w:val="000000"/>
          <w:kern w:val="0"/>
          <w14:ligatures w14:val="none"/>
        </w:rPr>
        <w:t>Elliott, Larry. “</w:t>
      </w:r>
      <w:r w:rsidRPr="00C92A21">
        <w:rPr>
          <w:rFonts w:ascii="Times New Roman" w:eastAsia="Times New Roman" w:hAnsi="Times New Roman" w:cs="Times New Roman"/>
          <w:color w:val="121212"/>
          <w:kern w:val="0"/>
          <w14:ligatures w14:val="none"/>
        </w:rPr>
        <w:t xml:space="preserve">Aggressive use of state subsidies risks expensive trade wars, IMF warns.” </w:t>
      </w:r>
      <w:r w:rsidRPr="00C92A21">
        <w:rPr>
          <w:rFonts w:ascii="Times New Roman" w:eastAsia="Times New Roman" w:hAnsi="Times New Roman" w:cs="Times New Roman"/>
          <w:i/>
          <w:iCs/>
          <w:color w:val="121212"/>
          <w:kern w:val="0"/>
          <w14:ligatures w14:val="none"/>
        </w:rPr>
        <w:t>The Guardian</w:t>
      </w:r>
      <w:r w:rsidRPr="00C92A21">
        <w:rPr>
          <w:rFonts w:ascii="Times New Roman" w:eastAsia="Times New Roman" w:hAnsi="Times New Roman" w:cs="Times New Roman"/>
          <w:color w:val="121212"/>
          <w:kern w:val="0"/>
          <w14:ligatures w14:val="none"/>
        </w:rPr>
        <w:t>, 10 Apr. 2024.</w:t>
      </w:r>
      <w:r w:rsidRPr="00C92A21">
        <w:rPr>
          <w:rFonts w:ascii="Times New Roman" w:eastAsia="Times New Roman" w:hAnsi="Times New Roman" w:cs="Times New Roman"/>
          <w:color w:val="121212"/>
          <w:kern w:val="0"/>
          <w14:ligatures w14:val="none"/>
        </w:rPr>
        <w:t xml:space="preserve"> </w:t>
      </w:r>
      <w:r w:rsidR="00C92A21">
        <w:rPr>
          <w:rFonts w:ascii="Times New Roman" w:eastAsia="Times New Roman" w:hAnsi="Times New Roman" w:cs="Times New Roman"/>
          <w:color w:val="1155CC"/>
          <w:kern w:val="0"/>
          <w:u w:val="single"/>
          <w14:ligatures w14:val="none"/>
        </w:rPr>
        <w:fldChar w:fldCharType="begin"/>
      </w:r>
      <w:r w:rsidR="00C92A21">
        <w:rPr>
          <w:rFonts w:ascii="Times New Roman" w:eastAsia="Times New Roman" w:hAnsi="Times New Roman" w:cs="Times New Roman"/>
          <w:color w:val="1155CC"/>
          <w:kern w:val="0"/>
          <w:u w:val="single"/>
          <w14:ligatures w14:val="none"/>
        </w:rPr>
        <w:instrText>HYPERLINK "</w:instrText>
      </w:r>
      <w:r w:rsidR="00C92A21" w:rsidRPr="00C92A21">
        <w:rPr>
          <w:rFonts w:ascii="Times New Roman" w:eastAsia="Times New Roman" w:hAnsi="Times New Roman" w:cs="Times New Roman"/>
          <w:color w:val="1155CC"/>
          <w:kern w:val="0"/>
          <w:u w:val="single"/>
          <w14:ligatures w14:val="none"/>
        </w:rPr>
        <w:instrText>https://www.theguardian.com/business/2024/apr/10/industrial-policy-to-boost-innovation-not-magic-cure-for-slow-growth-imf-warns</w:instrText>
      </w:r>
      <w:r w:rsidR="00C92A21">
        <w:rPr>
          <w:rFonts w:ascii="Times New Roman" w:eastAsia="Times New Roman" w:hAnsi="Times New Roman" w:cs="Times New Roman"/>
          <w:color w:val="1155CC"/>
          <w:kern w:val="0"/>
          <w:u w:val="single"/>
          <w14:ligatures w14:val="none"/>
        </w:rPr>
        <w:instrText>"</w:instrText>
      </w:r>
      <w:r w:rsidR="00C92A21">
        <w:rPr>
          <w:rFonts w:ascii="Times New Roman" w:eastAsia="Times New Roman" w:hAnsi="Times New Roman" w:cs="Times New Roman"/>
          <w:color w:val="1155CC"/>
          <w:kern w:val="0"/>
          <w:u w:val="single"/>
          <w14:ligatures w14:val="none"/>
        </w:rPr>
        <w:fldChar w:fldCharType="separate"/>
      </w:r>
      <w:r w:rsidR="00C92A21" w:rsidRPr="008926C9">
        <w:rPr>
          <w:rStyle w:val="Hyperlink"/>
          <w:rFonts w:ascii="Times New Roman" w:eastAsia="Times New Roman" w:hAnsi="Times New Roman" w:cs="Times New Roman"/>
          <w:kern w:val="0"/>
          <w14:ligatures w14:val="none"/>
        </w:rPr>
        <w:t>https://www.theguardian.com/business/2024/apr/10/industrial-policy-to-boost-innovation-not-magic-cure-for-slow-growth-imf-warns</w:t>
      </w:r>
      <w:r w:rsidR="00C92A21">
        <w:rPr>
          <w:rFonts w:ascii="Times New Roman" w:eastAsia="Times New Roman" w:hAnsi="Times New Roman" w:cs="Times New Roman"/>
          <w:color w:val="1155CC"/>
          <w:kern w:val="0"/>
          <w:u w:val="single"/>
          <w14:ligatures w14:val="none"/>
        </w:rPr>
        <w:fldChar w:fldCharType="end"/>
      </w:r>
    </w:p>
    <w:p w14:paraId="6C54B1E6" w14:textId="3C016EBA" w:rsidR="000111D5" w:rsidRPr="00C92A21"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C92A21">
        <w:rPr>
          <w:rFonts w:ascii="Times New Roman" w:eastAsia="Times New Roman" w:hAnsi="Times New Roman" w:cs="Times New Roman"/>
          <w:color w:val="000000"/>
          <w:kern w:val="0"/>
          <w14:ligatures w14:val="none"/>
        </w:rPr>
        <w:lastRenderedPageBreak/>
        <w:t xml:space="preserve">Fleming, Sam, and Andrew Bounds. “Poorly targeted dash to subsidise key industries will backfire, warns IMF.” </w:t>
      </w:r>
      <w:r w:rsidRPr="00C92A21">
        <w:rPr>
          <w:rFonts w:ascii="Times New Roman" w:eastAsia="Times New Roman" w:hAnsi="Times New Roman" w:cs="Times New Roman"/>
          <w:i/>
          <w:iCs/>
          <w:color w:val="000000"/>
          <w:kern w:val="0"/>
          <w14:ligatures w14:val="none"/>
        </w:rPr>
        <w:t>Financial Times</w:t>
      </w:r>
      <w:r w:rsidRPr="00C92A21">
        <w:rPr>
          <w:rFonts w:ascii="Times New Roman" w:eastAsia="Times New Roman" w:hAnsi="Times New Roman" w:cs="Times New Roman"/>
          <w:color w:val="000000"/>
          <w:kern w:val="0"/>
          <w14:ligatures w14:val="none"/>
        </w:rPr>
        <w:t>, 11 Apr. 2024</w:t>
      </w:r>
      <w:r w:rsidRPr="00C92A21">
        <w:rPr>
          <w:rFonts w:ascii="Times New Roman" w:eastAsia="Times New Roman" w:hAnsi="Times New Roman" w:cs="Times New Roman"/>
          <w:color w:val="000000"/>
          <w:kern w:val="0"/>
          <w14:ligatures w14:val="none"/>
        </w:rPr>
        <w:t xml:space="preserve"> </w:t>
      </w:r>
      <w:hyperlink r:id="rId8" w:history="1">
        <w:r w:rsidRPr="00C92A21">
          <w:rPr>
            <w:rStyle w:val="Hyperlink"/>
            <w:rFonts w:ascii="Times New Roman" w:eastAsia="Times New Roman" w:hAnsi="Times New Roman" w:cs="Times New Roman"/>
            <w:kern w:val="0"/>
            <w14:ligatures w14:val="none"/>
          </w:rPr>
          <w:t>https://www.ft.com/content/032a0a27-807f-4a60-b639-d48173843313</w:t>
        </w:r>
      </w:hyperlink>
    </w:p>
    <w:p w14:paraId="1AB8F188" w14:textId="77777777" w:rsid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International Monetary Fund. </w:t>
      </w:r>
      <w:r w:rsidRPr="000111D5">
        <w:rPr>
          <w:rFonts w:ascii="Times New Roman" w:eastAsia="Times New Roman" w:hAnsi="Times New Roman" w:cs="Times New Roman"/>
          <w:i/>
          <w:iCs/>
          <w:color w:val="000000"/>
          <w:kern w:val="0"/>
          <w14:ligatures w14:val="none"/>
        </w:rPr>
        <w:t>Fiscal Policy in the Great Election Year</w:t>
      </w:r>
      <w:r w:rsidRPr="000111D5">
        <w:rPr>
          <w:rFonts w:ascii="Times New Roman" w:eastAsia="Times New Roman" w:hAnsi="Times New Roman" w:cs="Times New Roman"/>
          <w:color w:val="000000"/>
          <w:kern w:val="0"/>
          <w14:ligatures w14:val="none"/>
        </w:rPr>
        <w:t xml:space="preserve">. IMF, April 2024. </w:t>
      </w:r>
      <w:hyperlink r:id="rId9" w:history="1">
        <w:r w:rsidRPr="000111D5">
          <w:rPr>
            <w:rFonts w:ascii="Times New Roman" w:eastAsia="Times New Roman" w:hAnsi="Times New Roman" w:cs="Times New Roman"/>
            <w:color w:val="1155CC"/>
            <w:kern w:val="0"/>
            <w:u w:val="single"/>
            <w14:ligatures w14:val="none"/>
          </w:rPr>
          <w:t>https://www.imf.org/en/Publications/FM/Issues/2024/04/17/fiscal-monitor-april-2024</w:t>
        </w:r>
      </w:hyperlink>
    </w:p>
    <w:p w14:paraId="12BAB994" w14:textId="77777777"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Lee, </w:t>
      </w:r>
      <w:proofErr w:type="spellStart"/>
      <w:r w:rsidRPr="000111D5">
        <w:rPr>
          <w:rFonts w:ascii="Times New Roman" w:eastAsia="Times New Roman" w:hAnsi="Times New Roman" w:cs="Times New Roman"/>
          <w:color w:val="000000"/>
          <w:kern w:val="0"/>
          <w14:ligatures w14:val="none"/>
        </w:rPr>
        <w:t>Youngjoon</w:t>
      </w:r>
      <w:proofErr w:type="spellEnd"/>
      <w:r w:rsidRPr="000111D5">
        <w:rPr>
          <w:rFonts w:ascii="Times New Roman" w:eastAsia="Times New Roman" w:hAnsi="Times New Roman" w:cs="Times New Roman"/>
          <w:color w:val="000000"/>
          <w:kern w:val="0"/>
          <w14:ligatures w14:val="none"/>
        </w:rPr>
        <w:t>. “</w:t>
      </w:r>
      <w:r w:rsidRPr="000111D5">
        <w:rPr>
          <w:rFonts w:ascii="Times New Roman" w:eastAsia="Times New Roman" w:hAnsi="Times New Roman" w:cs="Times New Roman"/>
          <w:color w:val="333333"/>
          <w:kern w:val="0"/>
          <w14:ligatures w14:val="none"/>
        </w:rPr>
        <w:t xml:space="preserve">Unintended Consequences of Business Subsidies: Evidence from “Made in China 2025”.” </w:t>
      </w:r>
      <w:r w:rsidRPr="000111D5">
        <w:rPr>
          <w:rFonts w:ascii="Times New Roman" w:eastAsia="Times New Roman" w:hAnsi="Times New Roman" w:cs="Times New Roman"/>
          <w:i/>
          <w:iCs/>
          <w:color w:val="333333"/>
          <w:kern w:val="0"/>
          <w14:ligatures w14:val="none"/>
        </w:rPr>
        <w:t>Journal of East Asian Studies</w:t>
      </w:r>
      <w:r w:rsidRPr="000111D5">
        <w:rPr>
          <w:rFonts w:ascii="Times New Roman" w:eastAsia="Times New Roman" w:hAnsi="Times New Roman" w:cs="Times New Roman"/>
          <w:color w:val="333333"/>
          <w:kern w:val="0"/>
          <w14:ligatures w14:val="none"/>
        </w:rPr>
        <w:t>, 26 Aug. 2025, pp. 1-28. </w:t>
      </w:r>
      <w:r>
        <w:rPr>
          <w:rFonts w:ascii="Times New Roman" w:eastAsia="Times New Roman" w:hAnsi="Times New Roman" w:cs="Times New Roman"/>
          <w:color w:val="1155CC"/>
          <w:kern w:val="0"/>
          <w:u w:val="single"/>
          <w14:ligatures w14:val="none"/>
        </w:rPr>
        <w:fldChar w:fldCharType="begin"/>
      </w:r>
      <w:r>
        <w:rPr>
          <w:rFonts w:ascii="Times New Roman" w:eastAsia="Times New Roman" w:hAnsi="Times New Roman" w:cs="Times New Roman"/>
          <w:color w:val="1155CC"/>
          <w:kern w:val="0"/>
          <w:u w:val="single"/>
          <w14:ligatures w14:val="none"/>
        </w:rPr>
        <w:instrText>HYPERLINK "</w:instrText>
      </w:r>
      <w:r w:rsidRPr="000111D5">
        <w:rPr>
          <w:rFonts w:ascii="Times New Roman" w:eastAsia="Times New Roman" w:hAnsi="Times New Roman" w:cs="Times New Roman"/>
          <w:color w:val="1155CC"/>
          <w:kern w:val="0"/>
          <w:u w:val="single"/>
          <w14:ligatures w14:val="none"/>
        </w:rPr>
        <w:instrText>https://www.cambridge.org/core/journals/journal-of-east-asian-studies/article/unintended-consequences-of-business-subsidies-evidence-from-made-in-china-2025/276FF72BE39077E0120FADFE97F3BF64</w:instrText>
      </w:r>
      <w:r>
        <w:rPr>
          <w:rFonts w:ascii="Times New Roman" w:eastAsia="Times New Roman" w:hAnsi="Times New Roman" w:cs="Times New Roman"/>
          <w:color w:val="1155CC"/>
          <w:kern w:val="0"/>
          <w:u w:val="single"/>
          <w14:ligatures w14:val="none"/>
        </w:rPr>
        <w:instrText>"</w:instrText>
      </w:r>
      <w:r>
        <w:rPr>
          <w:rFonts w:ascii="Times New Roman" w:eastAsia="Times New Roman" w:hAnsi="Times New Roman" w:cs="Times New Roman"/>
          <w:color w:val="1155CC"/>
          <w:kern w:val="0"/>
          <w:u w:val="single"/>
          <w14:ligatures w14:val="none"/>
        </w:rPr>
        <w:fldChar w:fldCharType="separate"/>
      </w:r>
      <w:r w:rsidRPr="008926C9">
        <w:rPr>
          <w:rStyle w:val="Hyperlink"/>
          <w:rFonts w:ascii="Times New Roman" w:eastAsia="Times New Roman" w:hAnsi="Times New Roman" w:cs="Times New Roman"/>
          <w:kern w:val="0"/>
          <w14:ligatures w14:val="none"/>
        </w:rPr>
        <w:t>https://www.cambridge.org/core/journals/journal-of-east-asian-studies/article/unintended-consequences-of-business-subsidies-evidence-from-made-in-china-2025/276FF72BE39077E0120FADFE97F3BF64</w:t>
      </w:r>
      <w:r>
        <w:rPr>
          <w:rFonts w:ascii="Times New Roman" w:eastAsia="Times New Roman" w:hAnsi="Times New Roman" w:cs="Times New Roman"/>
          <w:color w:val="1155CC"/>
          <w:kern w:val="0"/>
          <w:u w:val="single"/>
          <w14:ligatures w14:val="none"/>
        </w:rPr>
        <w:fldChar w:fldCharType="end"/>
      </w:r>
    </w:p>
    <w:p w14:paraId="292DE5DD" w14:textId="34EE8963"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Low, Tristan. “</w:t>
      </w:r>
      <w:r w:rsidRPr="000111D5">
        <w:rPr>
          <w:rFonts w:ascii="Times New Roman" w:eastAsia="Times New Roman" w:hAnsi="Times New Roman" w:cs="Times New Roman"/>
          <w:color w:val="333333"/>
          <w:kern w:val="0"/>
          <w14:ligatures w14:val="none"/>
        </w:rPr>
        <w:t xml:space="preserve">How State Intervention Shapes China’s AI Ecosystem.” </w:t>
      </w:r>
      <w:r w:rsidRPr="000111D5">
        <w:rPr>
          <w:rFonts w:ascii="Times New Roman" w:eastAsia="Times New Roman" w:hAnsi="Times New Roman" w:cs="Times New Roman"/>
          <w:i/>
          <w:iCs/>
          <w:color w:val="333333"/>
          <w:kern w:val="0"/>
          <w14:ligatures w14:val="none"/>
        </w:rPr>
        <w:t xml:space="preserve">Atlas Institute for International Affairs, </w:t>
      </w:r>
      <w:r w:rsidRPr="000111D5">
        <w:rPr>
          <w:rFonts w:ascii="Times New Roman" w:eastAsia="Times New Roman" w:hAnsi="Times New Roman" w:cs="Times New Roman"/>
          <w:color w:val="333333"/>
          <w:kern w:val="0"/>
          <w14:ligatures w14:val="none"/>
        </w:rPr>
        <w:t>25 June 2025.</w:t>
      </w:r>
      <w:r w:rsidR="00C92A21" w:rsidRPr="00C92A21">
        <w:t xml:space="preserve"> </w:t>
      </w:r>
      <w:hyperlink r:id="rId10" w:history="1">
        <w:r w:rsidR="00C92A21" w:rsidRPr="008926C9">
          <w:rPr>
            <w:rStyle w:val="Hyperlink"/>
            <w:rFonts w:ascii="Times New Roman" w:eastAsia="Times New Roman" w:hAnsi="Times New Roman" w:cs="Times New Roman"/>
            <w:kern w:val="0"/>
            <w14:ligatures w14:val="none"/>
          </w:rPr>
          <w:t>https://atlasinstitute.org/how-state-intervention-shapes-chinas-ai-ecosystem/</w:t>
        </w:r>
      </w:hyperlink>
      <w:r w:rsidR="00C92A21">
        <w:rPr>
          <w:rFonts w:ascii="Times New Roman" w:eastAsia="Times New Roman" w:hAnsi="Times New Roman" w:cs="Times New Roman"/>
          <w:color w:val="333333"/>
          <w:kern w:val="0"/>
          <w14:ligatures w14:val="none"/>
        </w:rPr>
        <w:t xml:space="preserve"> </w:t>
      </w:r>
    </w:p>
    <w:p w14:paraId="69EA8C54" w14:textId="77777777"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Medhurst, James et al. “AN ECONOMIC ANALYSIS OF SPILLOVERS FROM PROGRAMMES OF TECHNOLOGICAL INNOVATION SUPPORT.” Mar. 2024. pp. 21-22. </w:t>
      </w:r>
      <w:r>
        <w:rPr>
          <w:rFonts w:ascii="Times New Roman" w:eastAsia="Times New Roman" w:hAnsi="Times New Roman" w:cs="Times New Roman"/>
          <w:color w:val="1155CC"/>
          <w:kern w:val="0"/>
          <w:u w:val="single"/>
          <w14:ligatures w14:val="none"/>
        </w:rPr>
        <w:fldChar w:fldCharType="begin"/>
      </w:r>
      <w:r>
        <w:rPr>
          <w:rFonts w:ascii="Times New Roman" w:eastAsia="Times New Roman" w:hAnsi="Times New Roman" w:cs="Times New Roman"/>
          <w:color w:val="1155CC"/>
          <w:kern w:val="0"/>
          <w:u w:val="single"/>
          <w14:ligatures w14:val="none"/>
        </w:rPr>
        <w:instrText>HYPERLINK "</w:instrText>
      </w:r>
      <w:r w:rsidRPr="000111D5">
        <w:rPr>
          <w:rFonts w:ascii="Times New Roman" w:eastAsia="Times New Roman" w:hAnsi="Times New Roman" w:cs="Times New Roman"/>
          <w:color w:val="1155CC"/>
          <w:kern w:val="0"/>
          <w:u w:val="single"/>
          <w14:ligatures w14:val="none"/>
        </w:rPr>
        <w:instrText>https://assets.publishing.service.gov.uk/media/5a7c1c5a40f0b645ba3c6c21/bis-14-653-economic-analysis-of-spillovers-from-programmes-of-technological-innovation-support.pdf</w:instrText>
      </w:r>
      <w:r>
        <w:rPr>
          <w:rFonts w:ascii="Times New Roman" w:eastAsia="Times New Roman" w:hAnsi="Times New Roman" w:cs="Times New Roman"/>
          <w:color w:val="1155CC"/>
          <w:kern w:val="0"/>
          <w:u w:val="single"/>
          <w14:ligatures w14:val="none"/>
        </w:rPr>
        <w:instrText>"</w:instrText>
      </w:r>
      <w:r>
        <w:rPr>
          <w:rFonts w:ascii="Times New Roman" w:eastAsia="Times New Roman" w:hAnsi="Times New Roman" w:cs="Times New Roman"/>
          <w:color w:val="1155CC"/>
          <w:kern w:val="0"/>
          <w:u w:val="single"/>
          <w14:ligatures w14:val="none"/>
        </w:rPr>
        <w:fldChar w:fldCharType="separate"/>
      </w:r>
      <w:r w:rsidRPr="008926C9">
        <w:rPr>
          <w:rStyle w:val="Hyperlink"/>
          <w:rFonts w:ascii="Times New Roman" w:eastAsia="Times New Roman" w:hAnsi="Times New Roman" w:cs="Times New Roman"/>
          <w:kern w:val="0"/>
          <w14:ligatures w14:val="none"/>
        </w:rPr>
        <w:t>https://assets.publishing.service.gov.uk/media/5a7c1c5a40f0b645ba3c6c21/bis-14-653-economic-analysis-of-spillovers-from-programmes-of-technological-innovation-support.pdf</w:t>
      </w:r>
      <w:r>
        <w:rPr>
          <w:rFonts w:ascii="Times New Roman" w:eastAsia="Times New Roman" w:hAnsi="Times New Roman" w:cs="Times New Roman"/>
          <w:color w:val="1155CC"/>
          <w:kern w:val="0"/>
          <w:u w:val="single"/>
          <w14:ligatures w14:val="none"/>
        </w:rPr>
        <w:fldChar w:fldCharType="end"/>
      </w:r>
    </w:p>
    <w:p w14:paraId="7FF912DB" w14:textId="77777777"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t xml:space="preserve">Sung, </w:t>
      </w:r>
      <w:proofErr w:type="spellStart"/>
      <w:r w:rsidRPr="000111D5">
        <w:rPr>
          <w:rFonts w:ascii="Times New Roman" w:eastAsia="Times New Roman" w:hAnsi="Times New Roman" w:cs="Times New Roman"/>
          <w:color w:val="000000"/>
          <w:kern w:val="0"/>
          <w14:ligatures w14:val="none"/>
        </w:rPr>
        <w:t>Bongsuk</w:t>
      </w:r>
      <w:proofErr w:type="spellEnd"/>
      <w:r w:rsidRPr="000111D5">
        <w:rPr>
          <w:rFonts w:ascii="Times New Roman" w:eastAsia="Times New Roman" w:hAnsi="Times New Roman" w:cs="Times New Roman"/>
          <w:color w:val="000000"/>
          <w:kern w:val="0"/>
          <w14:ligatures w14:val="none"/>
        </w:rPr>
        <w:t>, Dan Zhang, and Sang-Do Park. “</w:t>
      </w:r>
      <w:r w:rsidRPr="000111D5">
        <w:rPr>
          <w:rFonts w:ascii="Times New Roman" w:eastAsia="Times New Roman" w:hAnsi="Times New Roman" w:cs="Times New Roman"/>
          <w:color w:val="1B1B1B"/>
          <w:kern w:val="0"/>
          <w14:ligatures w14:val="none"/>
        </w:rPr>
        <w:t xml:space="preserve">Public R&amp;D support, innovation, and spillovers: A dynamic spatial panel approach to firms.” </w:t>
      </w:r>
      <w:proofErr w:type="spellStart"/>
      <w:r w:rsidRPr="000111D5">
        <w:rPr>
          <w:rFonts w:ascii="Times New Roman" w:eastAsia="Times New Roman" w:hAnsi="Times New Roman" w:cs="Times New Roman"/>
          <w:i/>
          <w:iCs/>
          <w:color w:val="1B1B1B"/>
          <w:kern w:val="0"/>
          <w14:ligatures w14:val="none"/>
        </w:rPr>
        <w:t>Heliyon</w:t>
      </w:r>
      <w:proofErr w:type="spellEnd"/>
      <w:r w:rsidRPr="000111D5">
        <w:rPr>
          <w:rFonts w:ascii="Times New Roman" w:eastAsia="Times New Roman" w:hAnsi="Times New Roman" w:cs="Times New Roman"/>
          <w:color w:val="1B1B1B"/>
          <w:kern w:val="0"/>
          <w14:ligatures w14:val="none"/>
        </w:rPr>
        <w:t>, vol. 11, no. 3, 31 Jan. 2025,</w:t>
      </w:r>
      <w:r>
        <w:rPr>
          <w:rFonts w:ascii="Times New Roman" w:eastAsia="Times New Roman" w:hAnsi="Times New Roman" w:cs="Times New Roman"/>
          <w:color w:val="1B1B1B"/>
          <w:kern w:val="0"/>
          <w14:ligatures w14:val="none"/>
        </w:rPr>
        <w:t xml:space="preserve"> </w:t>
      </w:r>
      <w:hyperlink r:id="rId11" w:history="1">
        <w:r w:rsidRPr="008926C9">
          <w:rPr>
            <w:rStyle w:val="Hyperlink"/>
            <w:rFonts w:ascii="Times New Roman" w:eastAsia="Times New Roman" w:hAnsi="Times New Roman" w:cs="Times New Roman"/>
            <w:kern w:val="0"/>
            <w14:ligatures w14:val="none"/>
          </w:rPr>
          <w:t>https://pmc.ncbi.nlm.nih.gov/articles/PMC11847066/</w:t>
        </w:r>
      </w:hyperlink>
    </w:p>
    <w:p w14:paraId="04806C46" w14:textId="12187680" w:rsidR="000111D5" w:rsidRPr="000111D5" w:rsidRDefault="000111D5" w:rsidP="000111D5">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11D5">
        <w:rPr>
          <w:rFonts w:ascii="Times New Roman" w:eastAsia="Times New Roman" w:hAnsi="Times New Roman" w:cs="Times New Roman"/>
          <w:color w:val="000000"/>
          <w:kern w:val="0"/>
          <w14:ligatures w14:val="none"/>
        </w:rPr>
        <w:lastRenderedPageBreak/>
        <w:t>Villasenor, John. “</w:t>
      </w:r>
      <w:r w:rsidRPr="000111D5">
        <w:rPr>
          <w:rFonts w:ascii="Times New Roman" w:eastAsia="Times New Roman" w:hAnsi="Times New Roman" w:cs="Times New Roman"/>
          <w:color w:val="191919"/>
          <w:kern w:val="0"/>
          <w14:ligatures w14:val="none"/>
        </w:rPr>
        <w:t xml:space="preserve">How overly aggressive bans on AI chip exports to China can backfire.” </w:t>
      </w:r>
      <w:r w:rsidRPr="000111D5">
        <w:rPr>
          <w:rFonts w:ascii="Times New Roman" w:eastAsia="Times New Roman" w:hAnsi="Times New Roman" w:cs="Times New Roman"/>
          <w:i/>
          <w:iCs/>
          <w:color w:val="191919"/>
          <w:kern w:val="0"/>
          <w14:ligatures w14:val="none"/>
        </w:rPr>
        <w:t>Brookings</w:t>
      </w:r>
      <w:r w:rsidRPr="000111D5">
        <w:rPr>
          <w:rFonts w:ascii="Times New Roman" w:eastAsia="Times New Roman" w:hAnsi="Times New Roman" w:cs="Times New Roman"/>
          <w:color w:val="191919"/>
          <w:kern w:val="0"/>
          <w14:ligatures w14:val="none"/>
        </w:rPr>
        <w:t>, 15 Aug. 2025</w:t>
      </w:r>
      <w:r>
        <w:rPr>
          <w:rFonts w:ascii="Times New Roman" w:eastAsia="Times New Roman" w:hAnsi="Times New Roman" w:cs="Times New Roman"/>
          <w:color w:val="191919"/>
          <w:kern w:val="0"/>
          <w14:ligatures w14:val="none"/>
        </w:rPr>
        <w:t xml:space="preserve">. </w:t>
      </w:r>
      <w:hyperlink r:id="rId12" w:history="1">
        <w:r w:rsidRPr="008926C9">
          <w:rPr>
            <w:rStyle w:val="Hyperlink"/>
            <w:rFonts w:ascii="Times New Roman" w:eastAsia="Times New Roman" w:hAnsi="Times New Roman" w:cs="Times New Roman"/>
            <w:kern w:val="0"/>
            <w14:ligatures w14:val="none"/>
          </w:rPr>
          <w:t>https://www.brookings.edu/articles/how-overly-aggressive-bans-on-ai-chip-exports-to-china-can-backfire/</w:t>
        </w:r>
      </w:hyperlink>
    </w:p>
    <w:p w14:paraId="184038D4" w14:textId="77777777" w:rsidR="000111D5" w:rsidRDefault="000111D5"/>
    <w:sectPr w:rsidR="000111D5" w:rsidSect="000111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C04FC"/>
    <w:multiLevelType w:val="hybridMultilevel"/>
    <w:tmpl w:val="F9F00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33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D5"/>
    <w:rsid w:val="000111D5"/>
    <w:rsid w:val="001079FA"/>
    <w:rsid w:val="00354738"/>
    <w:rsid w:val="00C92A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40C1"/>
  <w15:chartTrackingRefBased/>
  <w15:docId w15:val="{6833DD57-0A79-CA4B-B6A6-C8A85D97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1D5"/>
    <w:rPr>
      <w:rFonts w:eastAsiaTheme="majorEastAsia" w:cstheme="majorBidi"/>
      <w:color w:val="272727" w:themeColor="text1" w:themeTint="D8"/>
    </w:rPr>
  </w:style>
  <w:style w:type="paragraph" w:styleId="Title">
    <w:name w:val="Title"/>
    <w:basedOn w:val="Normal"/>
    <w:next w:val="Normal"/>
    <w:link w:val="TitleChar"/>
    <w:uiPriority w:val="10"/>
    <w:qFormat/>
    <w:rsid w:val="00011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1D5"/>
    <w:pPr>
      <w:spacing w:before="160"/>
      <w:jc w:val="center"/>
    </w:pPr>
    <w:rPr>
      <w:i/>
      <w:iCs/>
      <w:color w:val="404040" w:themeColor="text1" w:themeTint="BF"/>
    </w:rPr>
  </w:style>
  <w:style w:type="character" w:customStyle="1" w:styleId="QuoteChar">
    <w:name w:val="Quote Char"/>
    <w:basedOn w:val="DefaultParagraphFont"/>
    <w:link w:val="Quote"/>
    <w:uiPriority w:val="29"/>
    <w:rsid w:val="000111D5"/>
    <w:rPr>
      <w:i/>
      <w:iCs/>
      <w:color w:val="404040" w:themeColor="text1" w:themeTint="BF"/>
    </w:rPr>
  </w:style>
  <w:style w:type="paragraph" w:styleId="ListParagraph">
    <w:name w:val="List Paragraph"/>
    <w:basedOn w:val="Normal"/>
    <w:uiPriority w:val="34"/>
    <w:qFormat/>
    <w:rsid w:val="000111D5"/>
    <w:pPr>
      <w:ind w:left="720"/>
      <w:contextualSpacing/>
    </w:pPr>
  </w:style>
  <w:style w:type="character" w:styleId="IntenseEmphasis">
    <w:name w:val="Intense Emphasis"/>
    <w:basedOn w:val="DefaultParagraphFont"/>
    <w:uiPriority w:val="21"/>
    <w:qFormat/>
    <w:rsid w:val="000111D5"/>
    <w:rPr>
      <w:i/>
      <w:iCs/>
      <w:color w:val="0F4761" w:themeColor="accent1" w:themeShade="BF"/>
    </w:rPr>
  </w:style>
  <w:style w:type="paragraph" w:styleId="IntenseQuote">
    <w:name w:val="Intense Quote"/>
    <w:basedOn w:val="Normal"/>
    <w:next w:val="Normal"/>
    <w:link w:val="IntenseQuoteChar"/>
    <w:uiPriority w:val="30"/>
    <w:qFormat/>
    <w:rsid w:val="00011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1D5"/>
    <w:rPr>
      <w:i/>
      <w:iCs/>
      <w:color w:val="0F4761" w:themeColor="accent1" w:themeShade="BF"/>
    </w:rPr>
  </w:style>
  <w:style w:type="character" w:styleId="IntenseReference">
    <w:name w:val="Intense Reference"/>
    <w:basedOn w:val="DefaultParagraphFont"/>
    <w:uiPriority w:val="32"/>
    <w:qFormat/>
    <w:rsid w:val="000111D5"/>
    <w:rPr>
      <w:b/>
      <w:bCs/>
      <w:smallCaps/>
      <w:color w:val="0F4761" w:themeColor="accent1" w:themeShade="BF"/>
      <w:spacing w:val="5"/>
    </w:rPr>
  </w:style>
  <w:style w:type="paragraph" w:styleId="NormalWeb">
    <w:name w:val="Normal (Web)"/>
    <w:basedOn w:val="Normal"/>
    <w:uiPriority w:val="99"/>
    <w:semiHidden/>
    <w:unhideWhenUsed/>
    <w:rsid w:val="000111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111D5"/>
    <w:rPr>
      <w:color w:val="0000FF"/>
      <w:u w:val="single"/>
    </w:rPr>
  </w:style>
  <w:style w:type="character" w:styleId="UnresolvedMention">
    <w:name w:val="Unresolved Mention"/>
    <w:basedOn w:val="DefaultParagraphFont"/>
    <w:uiPriority w:val="99"/>
    <w:semiHidden/>
    <w:unhideWhenUsed/>
    <w:rsid w:val="000111D5"/>
    <w:rPr>
      <w:color w:val="605E5C"/>
      <w:shd w:val="clear" w:color="auto" w:fill="E1DFDD"/>
    </w:rPr>
  </w:style>
  <w:style w:type="character" w:styleId="FollowedHyperlink">
    <w:name w:val="FollowedHyperlink"/>
    <w:basedOn w:val="DefaultParagraphFont"/>
    <w:uiPriority w:val="99"/>
    <w:semiHidden/>
    <w:unhideWhenUsed/>
    <w:rsid w:val="00C92A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032a0a27-807f-4a60-b639-d481738433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f.org/en/Publications/Departmental-Papers-Policy-Papers/Issues/2022/09/28/Industrial-Policy-for-Growth-and-Diversification-A-Conceptual-Framework-519714" TargetMode="External"/><Relationship Id="rId12" Type="http://schemas.openxmlformats.org/officeDocument/2006/relationships/hyperlink" Target="https://www.brookings.edu/articles/how-overly-aggressive-bans-on-ai-chip-exports-to-china-can-backf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full/10.1111/ecoj.12199" TargetMode="External"/><Relationship Id="rId11" Type="http://schemas.openxmlformats.org/officeDocument/2006/relationships/hyperlink" Target="https://pmc.ncbi.nlm.nih.gov/articles/PMC11847066/" TargetMode="External"/><Relationship Id="rId5" Type="http://schemas.openxmlformats.org/officeDocument/2006/relationships/hyperlink" Target="https://onlinelibrary.wiley.com/doi/abs/10.3982/ECTA18338" TargetMode="External"/><Relationship Id="rId10" Type="http://schemas.openxmlformats.org/officeDocument/2006/relationships/hyperlink" Target="https://atlasinstitute.org/how-state-intervention-shapes-chinas-ai-ecosystem/" TargetMode="External"/><Relationship Id="rId4" Type="http://schemas.openxmlformats.org/officeDocument/2006/relationships/webSettings" Target="webSettings.xml"/><Relationship Id="rId9" Type="http://schemas.openxmlformats.org/officeDocument/2006/relationships/hyperlink" Target="https://www.imf.org/en/Publications/FM/Issues/2024/04/17/fiscal-monitor-april-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jangyu01</dc:creator>
  <cp:keywords/>
  <dc:description/>
  <cp:lastModifiedBy>jangyu01</cp:lastModifiedBy>
  <cp:revision>1</cp:revision>
  <dcterms:created xsi:type="dcterms:W3CDTF">2025-09-01T11:47:00Z</dcterms:created>
  <dcterms:modified xsi:type="dcterms:W3CDTF">2025-09-01T12:16:00Z</dcterms:modified>
</cp:coreProperties>
</file>